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margin">
              <wp:posOffset>-880743</wp:posOffset>
            </wp:positionH>
            <wp:positionV relativeFrom="page">
              <wp:posOffset>-190499</wp:posOffset>
            </wp:positionV>
            <wp:extent cx="7839075" cy="10706100"/>
            <wp:effectExtent b="0" l="0" r="0" t="0"/>
            <wp:wrapNone/>
            <wp:docPr id="310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839075" cy="107061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2772093</wp:posOffset>
                </wp:positionH>
                <wp:positionV relativeFrom="paragraph">
                  <wp:posOffset>-261301</wp:posOffset>
                </wp:positionV>
                <wp:extent cx="3667125" cy="1647825"/>
                <wp:effectExtent b="0" l="0" r="0" t="0"/>
                <wp:wrapNone/>
                <wp:docPr id="309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3517200" y="2960850"/>
                          <a:ext cx="3657600" cy="163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  <w:t xml:space="preserve">Міністерство охорони здоров’я України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  <w:t xml:space="preserve">Тернопільський національний медичний </w:t>
                            </w: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  <w:t xml:space="preserve">університет імені І.Я. Горбачевського </w:t>
                            </w: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  <w:t xml:space="preserve">Міністерства охорони здоров’я України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  <w:t xml:space="preserve">МЦ “Клініка професора Стефана Хміля”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2772093</wp:posOffset>
                </wp:positionH>
                <wp:positionV relativeFrom="paragraph">
                  <wp:posOffset>-261301</wp:posOffset>
                </wp:positionV>
                <wp:extent cx="3667125" cy="1647825"/>
                <wp:effectExtent b="0" l="0" r="0" t="0"/>
                <wp:wrapNone/>
                <wp:docPr id="309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67125" cy="1647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-437831</wp:posOffset>
                </wp:positionH>
                <wp:positionV relativeFrom="paragraph">
                  <wp:posOffset>3921442</wp:posOffset>
                </wp:positionV>
                <wp:extent cx="6778625" cy="5977890"/>
                <wp:effectExtent b="0" l="0" r="0" t="0"/>
                <wp:wrapNone/>
                <wp:docPr id="308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1961450" y="795818"/>
                          <a:ext cx="6769100" cy="5968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Тренінг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1"/>
                                <w:i w:val="0"/>
                                <w:smallCaps w:val="1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«СУЧАСНІ ПІДХОДИ </w:t>
                            </w: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ДО ДІАГНОСТИКИ ТА ЛІКУВАННЯ БЕЗПЛІДДЯ»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1"/>
                                <w:i w:val="0"/>
                                <w:smallCaps w:val="1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17 жовтня 2025 року</w:t>
                            </w: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Захід подано на реєстрацію в Систему БПР </w:t>
                            </w: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ДНП «Центр тестування» МОЗ України та в ДНУ «УІНТЕІ»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м. Тернопіль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1.0000000149011612" w:line="234.99999046325684"/>
                              <w:ind w:left="-141.99999809265137" w:right="-158.99999618530273" w:firstLine="-141.99999809265137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-437831</wp:posOffset>
                </wp:positionH>
                <wp:positionV relativeFrom="paragraph">
                  <wp:posOffset>3921442</wp:posOffset>
                </wp:positionV>
                <wp:extent cx="6778625" cy="5977890"/>
                <wp:effectExtent b="0" l="0" r="0" t="0"/>
                <wp:wrapNone/>
                <wp:docPr id="308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78625" cy="59778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1"/>
        <w:tblW w:w="11341.0" w:type="dxa"/>
        <w:jc w:val="left"/>
        <w:tblInd w:w="-85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35"/>
        <w:gridCol w:w="5197"/>
        <w:gridCol w:w="3509"/>
        <w:tblGridChange w:id="0">
          <w:tblGrid>
            <w:gridCol w:w="2635"/>
            <w:gridCol w:w="5197"/>
            <w:gridCol w:w="350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Вид заходу </w:t>
            </w:r>
          </w:p>
        </w:tc>
        <w:tc>
          <w:tcPr/>
          <w:p w:rsidR="00000000" w:rsidDel="00000000" w:rsidP="00000000" w:rsidRDefault="00000000" w:rsidRPr="00000000" w14:paraId="00000004">
            <w:pPr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                      Тема заходу</w:t>
            </w:r>
          </w:p>
          <w:p w:rsidR="00000000" w:rsidDel="00000000" w:rsidP="00000000" w:rsidRDefault="00000000" w:rsidRPr="00000000" w14:paraId="00000005">
            <w:pPr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6">
            <w:pPr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Кількість учасників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rPr>
                <w:rFonts w:ascii="Cambria" w:cs="Cambria" w:eastAsia="Cambria" w:hAnsi="Cambria"/>
                <w:i w:val="1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Тренінг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Сучасні підходи до діагностики та лікування безпліддя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до 20</w:t>
            </w:r>
          </w:p>
        </w:tc>
      </w:tr>
      <w:tr>
        <w:trPr>
          <w:cantSplit w:val="0"/>
          <w:trHeight w:val="14509.228515625002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Час початку, </w:t>
            </w:r>
          </w:p>
          <w:p w:rsidR="00000000" w:rsidDel="00000000" w:rsidP="00000000" w:rsidRDefault="00000000" w:rsidRPr="00000000" w14:paraId="0000000C">
            <w:pPr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погодинний виклад змісту заходу, </w:t>
            </w:r>
          </w:p>
          <w:p w:rsidR="00000000" w:rsidDel="00000000" w:rsidP="00000000" w:rsidRDefault="00000000" w:rsidRPr="00000000" w14:paraId="0000000D">
            <w:pPr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час завершення</w:t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line="276" w:lineRule="auto"/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14:30 – 15:00 </w:t>
            </w:r>
            <w:hyperlink r:id="rId9">
              <w:r w:rsidDel="00000000" w:rsidR="00000000" w:rsidRPr="00000000">
                <w:rPr>
                  <w:rFonts w:ascii="Cambria" w:cs="Cambria" w:eastAsia="Cambria" w:hAnsi="Cambria"/>
                  <w:color w:val="1155cc"/>
                  <w:sz w:val="26"/>
                  <w:szCs w:val="26"/>
                  <w:u w:val="single"/>
                  <w:rtl w:val="0"/>
                </w:rPr>
                <w:t xml:space="preserve">Реєстрація для учасників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15:00 – 16:00 Лекційна частина. </w:t>
            </w:r>
          </w:p>
          <w:p w:rsidR="00000000" w:rsidDel="00000000" w:rsidP="00000000" w:rsidRDefault="00000000" w:rsidRPr="00000000" w14:paraId="00000011">
            <w:pPr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Діагностика та лікування усіх форм чоловічого та жіночого безпліддя: комплексний підхід. </w:t>
            </w:r>
          </w:p>
          <w:p w:rsidR="00000000" w:rsidDel="00000000" w:rsidP="00000000" w:rsidRDefault="00000000" w:rsidRPr="00000000" w14:paraId="00000012">
            <w:pPr>
              <w:spacing w:line="276" w:lineRule="auto"/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16:00 – 16:30 Лекційна частина. Ембріологічна лабораторія як серце репродуктивної клініки: стандарти, протоколи, ефективність. </w:t>
            </w:r>
          </w:p>
          <w:p w:rsidR="00000000" w:rsidDel="00000000" w:rsidP="00000000" w:rsidRDefault="00000000" w:rsidRPr="00000000" w14:paraId="00000013">
            <w:pPr>
              <w:spacing w:line="276" w:lineRule="auto"/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16:30 - 17:00 Лекційна частина. </w:t>
              <w:br w:type="textWrapping"/>
              <w:t xml:space="preserve">Чоловічий фактор безпліддя: що має знати гінеколог? </w:t>
            </w:r>
          </w:p>
          <w:p w:rsidR="00000000" w:rsidDel="00000000" w:rsidP="00000000" w:rsidRDefault="00000000" w:rsidRPr="00000000" w14:paraId="00000014">
            <w:pPr>
              <w:spacing w:line="276" w:lineRule="auto"/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17:00 – 17:30 Лекційна частина. </w:t>
              <w:br w:type="textWrapping"/>
              <w:t xml:space="preserve">Гормональний моніторинг при ЕКЗ: ключові біомаркери успішного циклу.</w:t>
              <w:br w:type="textWrapping"/>
              <w:t xml:space="preserve">17:30-18:00 Лекційна частина.  Кріоконсервація ооцитів як стратегія збереження фертильності при відкладеному материнстві</w:t>
            </w:r>
          </w:p>
          <w:p w:rsidR="00000000" w:rsidDel="00000000" w:rsidP="00000000" w:rsidRDefault="00000000" w:rsidRPr="00000000" w14:paraId="00000015">
            <w:pPr>
              <w:spacing w:line="276" w:lineRule="auto"/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18:00-19:00 спілкування, обговорення</w:t>
            </w:r>
          </w:p>
          <w:p w:rsidR="00000000" w:rsidDel="00000000" w:rsidP="00000000" w:rsidRDefault="00000000" w:rsidRPr="00000000" w14:paraId="00000016">
            <w:pPr>
              <w:spacing w:line="276" w:lineRule="auto"/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Завершення заходу.</w:t>
            </w:r>
          </w:p>
          <w:p w:rsidR="00000000" w:rsidDel="00000000" w:rsidP="00000000" w:rsidRDefault="00000000" w:rsidRPr="00000000" w14:paraId="00000017">
            <w:pPr>
              <w:spacing w:line="276" w:lineRule="auto"/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19:00 - 19:30 </w:t>
            </w:r>
            <w:hyperlink r:id="rId10">
              <w:r w:rsidDel="00000000" w:rsidR="00000000" w:rsidRPr="00000000">
                <w:rPr>
                  <w:rFonts w:ascii="Cambria" w:cs="Cambria" w:eastAsia="Cambria" w:hAnsi="Cambria"/>
                  <w:color w:val="1155cc"/>
                  <w:sz w:val="26"/>
                  <w:szCs w:val="26"/>
                  <w:u w:val="single"/>
                  <w:rtl w:val="0"/>
                </w:rPr>
                <w:t xml:space="preserve">Тестування учасників</w:t>
              </w:r>
            </w:hyperlink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. Вручення сертифікатів.</w:t>
            </w:r>
          </w:p>
          <w:p w:rsidR="00000000" w:rsidDel="00000000" w:rsidP="00000000" w:rsidRDefault="00000000" w:rsidRPr="00000000" w14:paraId="00000018">
            <w:pPr>
              <w:spacing w:line="276" w:lineRule="auto"/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line="276" w:lineRule="auto"/>
              <w:rPr>
                <w:rFonts w:ascii="Cambria" w:cs="Cambria" w:eastAsia="Cambria" w:hAnsi="Cambria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6"/>
                <w:szCs w:val="26"/>
                <w:rtl w:val="0"/>
              </w:rPr>
              <w:t xml:space="preserve">Кількість астрономічних годин – 5.</w:t>
            </w:r>
          </w:p>
          <w:p w:rsidR="00000000" w:rsidDel="00000000" w:rsidP="00000000" w:rsidRDefault="00000000" w:rsidRPr="00000000" w14:paraId="0000001A">
            <w:pPr>
              <w:spacing w:line="276" w:lineRule="auto"/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6"/>
                <w:szCs w:val="26"/>
                <w:rtl w:val="0"/>
              </w:rPr>
              <w:t xml:space="preserve">Кількість академічних годин – 7.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after="280" w:lineRule="auto"/>
              <w:ind w:left="149" w:firstLine="0"/>
              <w:rPr>
                <w:rFonts w:ascii="Cambria" w:cs="Cambria" w:eastAsia="Cambria" w:hAnsi="Cambria"/>
                <w:color w:val="111111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280" w:before="280" w:lineRule="auto"/>
              <w:ind w:left="149" w:firstLine="0"/>
              <w:rPr>
                <w:rFonts w:ascii="Cambria" w:cs="Cambria" w:eastAsia="Cambria" w:hAnsi="Cambria"/>
                <w:color w:val="111111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111111"/>
                <w:sz w:val="26"/>
                <w:szCs w:val="26"/>
                <w:rtl w:val="0"/>
              </w:rPr>
              <w:t xml:space="preserve">Резюме інструкторів:</w:t>
            </w:r>
          </w:p>
          <w:p w:rsidR="00000000" w:rsidDel="00000000" w:rsidP="00000000" w:rsidRDefault="00000000" w:rsidRPr="00000000" w14:paraId="0000001D">
            <w:pPr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6"/>
                <w:szCs w:val="26"/>
                <w:rtl w:val="0"/>
              </w:rPr>
              <w:t xml:space="preserve">1) Хміль Стефан Володимирович</w:t>
            </w: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 – Заслужений діяч науки і техніки України, доктор медичних наук, професор кафедри акушерства та гiнекології Тернопільського національного медичного університету.</w:t>
            </w:r>
          </w:p>
          <w:p w:rsidR="00000000" w:rsidDel="00000000" w:rsidP="00000000" w:rsidRDefault="00000000" w:rsidRPr="00000000" w14:paraId="0000001E">
            <w:pPr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6"/>
                <w:szCs w:val="26"/>
                <w:rtl w:val="0"/>
              </w:rPr>
              <w:t xml:space="preserve">2) Хміль Марія Стефанівна</w:t>
            </w: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 – доцент, кандидат медичних наук, асистент кафедри акушерства і гінекології №1 Тернопільського національного медичного університету.</w:t>
            </w:r>
          </w:p>
          <w:p w:rsidR="00000000" w:rsidDel="00000000" w:rsidP="00000000" w:rsidRDefault="00000000" w:rsidRPr="00000000" w14:paraId="0000001F">
            <w:pPr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6"/>
                <w:szCs w:val="26"/>
                <w:rtl w:val="0"/>
              </w:rPr>
              <w:t xml:space="preserve">3) Хміль Досвальд Анна Стефанівна –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кандидат медичних наук, асистент кафедри акушерства і гінекології №1 Тернопільського національного медичного університету..</w:t>
            </w:r>
          </w:p>
          <w:p w:rsidR="00000000" w:rsidDel="00000000" w:rsidP="00000000" w:rsidRDefault="00000000" w:rsidRPr="00000000" w14:paraId="00000021">
            <w:pPr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6"/>
                <w:szCs w:val="26"/>
                <w:rtl w:val="0"/>
              </w:rPr>
              <w:t xml:space="preserve">4) Закопняк Олег Васильович </w:t>
            </w: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– лікар уролог-андролог ТОВ “Клініка професора С. Хміля у Тернополі”.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4)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26"/>
                <w:szCs w:val="26"/>
                <w:rtl w:val="0"/>
              </w:rPr>
              <w:t xml:space="preserve">Пелех Лілія Богданівна </w:t>
            </w: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– завідуюча ембріологічним відділенням ТОВ “Клініка професора С. Хміля у Тернополі”.</w:t>
            </w:r>
          </w:p>
          <w:p w:rsidR="00000000" w:rsidDel="00000000" w:rsidP="00000000" w:rsidRDefault="00000000" w:rsidRPr="00000000" w14:paraId="00000025">
            <w:pPr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850" w:top="284" w:left="1417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mbria" w:cs="Cambria" w:eastAsia="Cambria" w:hAnsi="Cambria"/>
      <w:color w:val="36609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a0" w:default="1">
    <w:name w:val="Default Paragraph Font"/>
    <w:uiPriority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Balloon Text"/>
    <w:basedOn w:val="a"/>
    <w:link w:val="a4"/>
    <w:uiPriority w:val="99"/>
    <w:semiHidden w:val="1"/>
    <w:unhideWhenUsed w:val="1"/>
    <w:rsid w:val="00C2680A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a4" w:customStyle="1">
    <w:name w:val="Текст у виносці Знак"/>
    <w:basedOn w:val="a0"/>
    <w:link w:val="a3"/>
    <w:uiPriority w:val="99"/>
    <w:semiHidden w:val="1"/>
    <w:rsid w:val="00C2680A"/>
    <w:rPr>
      <w:rFonts w:ascii="Tahoma" w:cs="Tahoma" w:hAnsi="Tahoma"/>
      <w:sz w:val="16"/>
      <w:szCs w:val="16"/>
    </w:rPr>
  </w:style>
  <w:style w:type="paragraph" w:styleId="a5">
    <w:name w:val="Body Text"/>
    <w:basedOn w:val="a"/>
    <w:link w:val="a6"/>
    <w:uiPriority w:val="1"/>
    <w:qFormat w:val="1"/>
    <w:rsid w:val="00C2680A"/>
    <w:pPr>
      <w:widowControl w:val="0"/>
      <w:autoSpaceDE w:val="0"/>
      <w:autoSpaceDN w:val="0"/>
      <w:spacing w:after="0" w:line="240" w:lineRule="auto"/>
    </w:pPr>
    <w:rPr>
      <w:rFonts w:ascii="Times New Roman" w:cs="Times New Roman" w:eastAsia="Times New Roman" w:hAnsi="Times New Roman"/>
      <w:b w:val="1"/>
      <w:bCs w:val="1"/>
      <w:sz w:val="28"/>
      <w:szCs w:val="28"/>
      <w:lang w:val="uk-UA"/>
    </w:rPr>
  </w:style>
  <w:style w:type="character" w:styleId="a6" w:customStyle="1">
    <w:name w:val="Основний текст Знак"/>
    <w:basedOn w:val="a0"/>
    <w:link w:val="a5"/>
    <w:uiPriority w:val="1"/>
    <w:rsid w:val="00C2680A"/>
    <w:rPr>
      <w:rFonts w:ascii="Times New Roman" w:cs="Times New Roman" w:eastAsia="Times New Roman" w:hAnsi="Times New Roman"/>
      <w:b w:val="1"/>
      <w:bCs w:val="1"/>
      <w:sz w:val="28"/>
      <w:szCs w:val="28"/>
      <w:lang w:val="uk-UA"/>
    </w:rPr>
  </w:style>
  <w:style w:type="paragraph" w:styleId="normal1" w:customStyle="1">
    <w:name w:val="normal1"/>
    <w:qFormat w:val="1"/>
    <w:rsid w:val="00372C5C"/>
    <w:pPr>
      <w:spacing w:after="160" w:line="256" w:lineRule="auto"/>
    </w:pPr>
    <w:rPr>
      <w:rFonts w:ascii="Calibri" w:cs="Calibri" w:eastAsia="Calibri" w:hAnsi="Calibri"/>
      <w:lang w:bidi="hi-IN" w:eastAsia="zh-CN" w:val="uk-UA"/>
    </w:rPr>
  </w:style>
  <w:style w:type="character" w:styleId="a7">
    <w:name w:val="Hyperlink"/>
    <w:basedOn w:val="a0"/>
    <w:uiPriority w:val="99"/>
    <w:unhideWhenUsed w:val="1"/>
    <w:rsid w:val="00372C5C"/>
    <w:rPr>
      <w:color w:val="0000ff"/>
      <w:u w:val="single"/>
    </w:rPr>
  </w:style>
  <w:style w:type="paragraph" w:styleId="a8">
    <w:name w:val="List Paragraph"/>
    <w:basedOn w:val="a"/>
    <w:uiPriority w:val="34"/>
    <w:qFormat w:val="1"/>
    <w:rsid w:val="008245F0"/>
    <w:pPr>
      <w:spacing w:after="160" w:line="259" w:lineRule="auto"/>
      <w:ind w:left="720"/>
      <w:contextualSpacing w:val="1"/>
    </w:pPr>
    <w:rPr>
      <w:rFonts w:ascii="Calibri" w:cs="Calibri" w:eastAsia="Calibri" w:hAnsi="Calibri"/>
      <w:lang w:eastAsia="uk-UA" w:val="uk-UA"/>
    </w:rPr>
  </w:style>
  <w:style w:type="table" w:styleId="a9">
    <w:name w:val="Table Grid"/>
    <w:basedOn w:val="a1"/>
    <w:uiPriority w:val="39"/>
    <w:rsid w:val="00A63D8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10" w:customStyle="1">
    <w:name w:val="Заголовок 1 Знак"/>
    <w:basedOn w:val="a0"/>
    <w:link w:val="1"/>
    <w:uiPriority w:val="9"/>
    <w:rsid w:val="00B74037"/>
    <w:rPr>
      <w:rFonts w:asciiTheme="majorHAnsi" w:cstheme="majorBidi" w:eastAsiaTheme="majorEastAsia" w:hAnsiTheme="majorHAnsi"/>
      <w:color w:val="365f91" w:themeColor="accent1" w:themeShade="0000BF"/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forms.gle/SSNZFschRP19FYiJ7" TargetMode="External"/><Relationship Id="rId9" Type="http://schemas.openxmlformats.org/officeDocument/2006/relationships/hyperlink" Target="https://forms.gle/HvB7DWiMZ8MvLYX97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o/GYhiUI1f4Ws9wlSW2ExItPSg==">CgMxLjA4AHIhMUUwNXNZbFZ4NDZ3QWpjNDNuSlJwZW5nU1R3RG9KUkVh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2025-09-30T15:19:00Z</dcterms:created>
  <dc:creator>Nataly-N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d9657a9107cd16d868722a9bae7fb0b2565cb76836f002a498597054672211a2</vt:lpwstr>
  </property>
</Properties>
</file>